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225" w:afterAutospacing="0" w:line="360" w:lineRule="atLeast"/>
        <w:ind w:firstLine="480"/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rFonts w:hint="eastAsia" w:ascii="Arial" w:hAnsi="Arial" w:cs="Arial"/>
          <w:b/>
          <w:bCs/>
          <w:sz w:val="36"/>
          <w:szCs w:val="36"/>
          <w:shd w:val="clear" w:color="auto" w:fill="FFFFFF"/>
        </w:rPr>
        <w:t>税务会计师（中级）专业能力考试成绩复核办法</w:t>
      </w:r>
    </w:p>
    <w:p>
      <w:pPr>
        <w:pStyle w:val="6"/>
        <w:shd w:val="clear" w:color="auto" w:fill="FFFFFF"/>
        <w:spacing w:before="0" w:beforeAutospacing="0" w:after="225" w:afterAutospacing="0" w:line="360" w:lineRule="atLeast"/>
        <w:ind w:firstLine="480"/>
        <w:jc w:val="center"/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hint="eastAsia" w:ascii="Arial" w:hAnsi="Arial" w:cs="Arial"/>
          <w:b/>
          <w:bCs/>
          <w:sz w:val="36"/>
          <w:szCs w:val="36"/>
          <w:shd w:val="clear" w:color="auto" w:fill="FFFFFF"/>
        </w:rPr>
        <w:t>（试行）</w:t>
      </w:r>
    </w:p>
    <w:p>
      <w:pPr>
        <w:pStyle w:val="6"/>
        <w:shd w:val="clear" w:color="auto" w:fill="FFFFFF"/>
        <w:spacing w:before="0" w:beforeAutospacing="0" w:after="225" w:afterAutospacing="0" w:line="360" w:lineRule="atLeast"/>
        <w:ind w:left="143" w:leftChars="68" w:firstLine="564" w:firstLineChars="188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ascii="仿宋_GB2312" w:eastAsia="仿宋_GB2312" w:hAnsiTheme="minorHAnsi" w:cstheme="minorBidi"/>
          <w:kern w:val="2"/>
          <w:sz w:val="30"/>
          <w:szCs w:val="30"/>
        </w:rPr>
        <w:t>为规范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税务会计师（中级）专业能力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考试成绩复核工作，制定本办法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225" w:afterAutospacing="0" w:line="360" w:lineRule="atLeast"/>
        <w:ind w:left="141" w:leftChars="67" w:firstLine="519" w:firstLineChars="173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第一条 税务会计师（中级）专业能力考试成绩复核工作（简称“成绩复核”）由中国总会计师协会（以下简称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”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中总协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”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）相关职能部门负责组织实施。</w:t>
      </w:r>
    </w:p>
    <w:p>
      <w:pPr>
        <w:pStyle w:val="6"/>
        <w:shd w:val="clear" w:color="auto" w:fill="FFFFFF"/>
        <w:spacing w:before="0" w:beforeAutospacing="0" w:after="225" w:afterAutospacing="0" w:line="360" w:lineRule="atLeast"/>
        <w:ind w:left="141" w:leftChars="67" w:firstLine="600" w:firstLineChars="200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ascii="仿宋_GB2312" w:eastAsia="仿宋_GB2312" w:hAnsiTheme="minorHAnsi" w:cstheme="minorBidi"/>
          <w:kern w:val="2"/>
          <w:sz w:val="30"/>
          <w:szCs w:val="30"/>
        </w:rPr>
        <w:t>第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二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条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 xml:space="preserve"> 中总协相关职能部门秉承客观公正、实事求是的原则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组织实施成绩复核工作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225" w:afterAutospacing="0" w:line="360" w:lineRule="atLeast"/>
        <w:ind w:firstLine="600" w:firstLineChars="200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ascii="仿宋_GB2312" w:eastAsia="仿宋_GB2312" w:hAnsiTheme="minorHAnsi" w:cstheme="minorBidi"/>
          <w:kern w:val="2"/>
          <w:sz w:val="30"/>
          <w:szCs w:val="30"/>
        </w:rPr>
        <w:t>第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三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条 应考人员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对成绩持有异议，可由本人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在考试成绩发布之日起20日内填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写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《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税务会计师（中级）专业能力考试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成绩复核申请表》，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通过电子邮件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向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中总协提出对本次考试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成绩复核申请。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中总协相关职能部门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在收到申请之日起30日内进行成绩复核，并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予以回复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225" w:afterAutospacing="0" w:line="360" w:lineRule="atLeast"/>
        <w:ind w:firstLine="480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ascii="仿宋_GB2312" w:eastAsia="仿宋_GB2312" w:hAnsiTheme="minorHAnsi" w:cstheme="minorBidi"/>
          <w:kern w:val="2"/>
          <w:sz w:val="30"/>
          <w:szCs w:val="30"/>
        </w:rPr>
        <w:t>第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四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条 成绩复核仅限于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核查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是否存在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成绩加总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错误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或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登分错误，不重新评阅答卷。复核后为最终成绩，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不受理再次复核申请。</w:t>
      </w:r>
    </w:p>
    <w:p>
      <w:pPr>
        <w:pStyle w:val="6"/>
        <w:shd w:val="clear" w:color="auto" w:fill="FFFFFF"/>
        <w:spacing w:before="0" w:beforeAutospacing="0" w:after="225" w:afterAutospacing="0" w:line="360" w:lineRule="atLeast"/>
        <w:ind w:firstLine="600" w:firstLineChars="200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ascii="仿宋_GB2312" w:eastAsia="仿宋_GB2312" w:hAnsiTheme="minorHAnsi" w:cstheme="minorBidi"/>
          <w:kern w:val="2"/>
          <w:sz w:val="30"/>
          <w:szCs w:val="30"/>
        </w:rPr>
        <w:t>第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五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条 本办法自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发布之日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起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试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行。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本办法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的解释权归属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中总协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秘书处。</w:t>
      </w:r>
    </w:p>
    <w:p>
      <w:pPr>
        <w:pStyle w:val="6"/>
        <w:shd w:val="clear" w:color="auto" w:fill="FFFFFF"/>
        <w:spacing w:before="0" w:beforeAutospacing="0" w:after="225" w:afterAutospacing="0" w:line="360" w:lineRule="atLeast"/>
        <w:ind w:firstLine="567" w:firstLineChars="189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附：《税务会计师专业能力考试</w:t>
      </w:r>
      <w:r>
        <w:rPr>
          <w:rFonts w:ascii="仿宋" w:hAnsi="仿宋" w:eastAsia="仿宋" w:cs="Arial"/>
          <w:sz w:val="30"/>
          <w:szCs w:val="30"/>
        </w:rPr>
        <w:t>成绩复核申请表》</w:t>
      </w:r>
    </w:p>
    <w:p>
      <w:pPr>
        <w:pStyle w:val="6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黑体" w:eastAsia="黑体" w:cs="Arial"/>
          <w:sz w:val="36"/>
          <w:szCs w:val="36"/>
        </w:rPr>
      </w:pPr>
      <w:r>
        <w:rPr>
          <w:rFonts w:hint="eastAsia" w:ascii="黑体" w:hAnsi="黑体" w:eastAsia="黑体" w:cs="Arial"/>
          <w:sz w:val="36"/>
          <w:szCs w:val="36"/>
        </w:rPr>
        <w:t>税务会计师（中级）专业能力考试</w:t>
      </w:r>
    </w:p>
    <w:p>
      <w:pPr>
        <w:pStyle w:val="6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黑体" w:eastAsia="黑体" w:cs="Arial"/>
          <w:sz w:val="36"/>
          <w:szCs w:val="36"/>
        </w:rPr>
      </w:pPr>
      <w:r>
        <w:rPr>
          <w:rFonts w:ascii="黑体" w:hAnsi="黑体" w:eastAsia="黑体" w:cs="Arial"/>
          <w:sz w:val="36"/>
          <w:szCs w:val="36"/>
        </w:rPr>
        <w:t>成绩复核申请表</w:t>
      </w:r>
    </w:p>
    <w:tbl>
      <w:tblPr>
        <w:tblStyle w:val="9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31"/>
        <w:gridCol w:w="914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姓名</w:t>
            </w:r>
          </w:p>
        </w:tc>
        <w:tc>
          <w:tcPr>
            <w:tcW w:w="1331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914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性别</w:t>
            </w:r>
          </w:p>
        </w:tc>
        <w:tc>
          <w:tcPr>
            <w:tcW w:w="133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准考证号</w:t>
            </w:r>
          </w:p>
        </w:tc>
        <w:tc>
          <w:tcPr>
            <w:tcW w:w="1565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证件类型</w:t>
            </w:r>
          </w:p>
        </w:tc>
        <w:tc>
          <w:tcPr>
            <w:tcW w:w="2245" w:type="dxa"/>
            <w:gridSpan w:val="2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手机号码</w:t>
            </w:r>
          </w:p>
        </w:tc>
        <w:tc>
          <w:tcPr>
            <w:tcW w:w="2245" w:type="dxa"/>
            <w:gridSpan w:val="2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考试地区</w:t>
            </w:r>
          </w:p>
        </w:tc>
        <w:tc>
          <w:tcPr>
            <w:tcW w:w="2245" w:type="dxa"/>
            <w:gridSpan w:val="2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3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成绩复核</w:t>
            </w:r>
          </w:p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5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5"/>
          </w:tcPr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如非本人申请复核，邮件不予回复。</w:t>
            </w:r>
          </w:p>
          <w:p>
            <w:pPr>
              <w:pStyle w:val="6"/>
              <w:spacing w:before="0" w:beforeAutospacing="0" w:after="225" w:afterAutospacing="0" w:line="360" w:lineRule="atLeast"/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</w:rPr>
              <w:t xml:space="preserve">联系人： </w:t>
            </w: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  <w:lang w:eastAsia="zh-CN"/>
              </w:rPr>
              <w:t>赵老师</w:t>
            </w:r>
          </w:p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shd w:val="clear" w:color="auto" w:fill="auto"/>
              </w:rPr>
              <w:t>咨询电话： 010-88191830</w:t>
            </w:r>
            <w:bookmarkStart w:id="0" w:name="_GoBack"/>
            <w:bookmarkEnd w:id="0"/>
          </w:p>
          <w:p>
            <w:pPr>
              <w:pStyle w:val="6"/>
              <w:spacing w:before="0" w:beforeAutospacing="0" w:after="225" w:afterAutospacing="0" w:line="360" w:lineRule="atLeast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电子邮箱：</w:t>
            </w:r>
            <w:r>
              <w:fldChar w:fldCharType="begin"/>
            </w:r>
            <w:r>
              <w:instrText xml:space="preserve"> HYPERLINK "mailto:ksb@cacfo.com" </w:instrText>
            </w:r>
            <w:r>
              <w:fldChar w:fldCharType="separate"/>
            </w:r>
            <w:r>
              <w:rPr>
                <w:rFonts w:hint="eastAsia"/>
              </w:rPr>
              <w:t>ksb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@cacfo.com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6"/>
        <w:shd w:val="clear" w:color="auto" w:fill="FFFFFF"/>
        <w:spacing w:before="0" w:beforeAutospacing="0" w:after="225" w:afterAutospacing="0" w:line="360" w:lineRule="atLeast"/>
        <w:rPr>
          <w:rFonts w:ascii="仿宋" w:hAnsi="仿宋" w:eastAsia="仿宋" w:cs="Arial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974"/>
    <w:rsid w:val="00014B49"/>
    <w:rsid w:val="00023451"/>
    <w:rsid w:val="00037408"/>
    <w:rsid w:val="00095963"/>
    <w:rsid w:val="000A1A65"/>
    <w:rsid w:val="000D2A1E"/>
    <w:rsid w:val="00110BDB"/>
    <w:rsid w:val="001316AD"/>
    <w:rsid w:val="00197695"/>
    <w:rsid w:val="001A5F61"/>
    <w:rsid w:val="001B25C7"/>
    <w:rsid w:val="001C3B29"/>
    <w:rsid w:val="001E17E0"/>
    <w:rsid w:val="001E332B"/>
    <w:rsid w:val="00212163"/>
    <w:rsid w:val="0022029B"/>
    <w:rsid w:val="00231827"/>
    <w:rsid w:val="002535C2"/>
    <w:rsid w:val="002646AF"/>
    <w:rsid w:val="00264BC8"/>
    <w:rsid w:val="00267ABC"/>
    <w:rsid w:val="00294478"/>
    <w:rsid w:val="002A20B2"/>
    <w:rsid w:val="0030339F"/>
    <w:rsid w:val="00305BC8"/>
    <w:rsid w:val="00307974"/>
    <w:rsid w:val="003141EE"/>
    <w:rsid w:val="00320878"/>
    <w:rsid w:val="00320D49"/>
    <w:rsid w:val="00327C22"/>
    <w:rsid w:val="00333C98"/>
    <w:rsid w:val="003644C6"/>
    <w:rsid w:val="00366577"/>
    <w:rsid w:val="00370323"/>
    <w:rsid w:val="00374BC3"/>
    <w:rsid w:val="003A180A"/>
    <w:rsid w:val="003A7CF0"/>
    <w:rsid w:val="003F176E"/>
    <w:rsid w:val="003F75B4"/>
    <w:rsid w:val="003F7BC8"/>
    <w:rsid w:val="00416287"/>
    <w:rsid w:val="00420547"/>
    <w:rsid w:val="00493D69"/>
    <w:rsid w:val="004B0021"/>
    <w:rsid w:val="00531CAE"/>
    <w:rsid w:val="005331A7"/>
    <w:rsid w:val="00550F87"/>
    <w:rsid w:val="00582465"/>
    <w:rsid w:val="005973CC"/>
    <w:rsid w:val="005D415B"/>
    <w:rsid w:val="005D49F9"/>
    <w:rsid w:val="005E5A46"/>
    <w:rsid w:val="005F02F8"/>
    <w:rsid w:val="006010FD"/>
    <w:rsid w:val="0062355B"/>
    <w:rsid w:val="006243F0"/>
    <w:rsid w:val="0063673A"/>
    <w:rsid w:val="006904E8"/>
    <w:rsid w:val="00696F3F"/>
    <w:rsid w:val="006A774F"/>
    <w:rsid w:val="006B1229"/>
    <w:rsid w:val="006B56D4"/>
    <w:rsid w:val="006B74B9"/>
    <w:rsid w:val="006C12D9"/>
    <w:rsid w:val="006D1FC2"/>
    <w:rsid w:val="006D26C3"/>
    <w:rsid w:val="006D381D"/>
    <w:rsid w:val="006D646C"/>
    <w:rsid w:val="006D72C8"/>
    <w:rsid w:val="00733646"/>
    <w:rsid w:val="00736D2D"/>
    <w:rsid w:val="00745FE5"/>
    <w:rsid w:val="007571D3"/>
    <w:rsid w:val="007A7A29"/>
    <w:rsid w:val="007D2C86"/>
    <w:rsid w:val="00802437"/>
    <w:rsid w:val="008269E4"/>
    <w:rsid w:val="00855DEA"/>
    <w:rsid w:val="008606DC"/>
    <w:rsid w:val="008838AA"/>
    <w:rsid w:val="00897075"/>
    <w:rsid w:val="00897920"/>
    <w:rsid w:val="008A530D"/>
    <w:rsid w:val="008F779F"/>
    <w:rsid w:val="009022C4"/>
    <w:rsid w:val="00940202"/>
    <w:rsid w:val="00942520"/>
    <w:rsid w:val="009659BA"/>
    <w:rsid w:val="00981D37"/>
    <w:rsid w:val="009C35C7"/>
    <w:rsid w:val="009C7C48"/>
    <w:rsid w:val="009D274B"/>
    <w:rsid w:val="009D563D"/>
    <w:rsid w:val="009E3DD8"/>
    <w:rsid w:val="009E6ABD"/>
    <w:rsid w:val="00A01D53"/>
    <w:rsid w:val="00A32599"/>
    <w:rsid w:val="00A360F8"/>
    <w:rsid w:val="00A41001"/>
    <w:rsid w:val="00A42021"/>
    <w:rsid w:val="00A43587"/>
    <w:rsid w:val="00A96646"/>
    <w:rsid w:val="00AA0069"/>
    <w:rsid w:val="00AE14D0"/>
    <w:rsid w:val="00AE4112"/>
    <w:rsid w:val="00AE490E"/>
    <w:rsid w:val="00AF097E"/>
    <w:rsid w:val="00B16DB8"/>
    <w:rsid w:val="00B31519"/>
    <w:rsid w:val="00B4003A"/>
    <w:rsid w:val="00B64574"/>
    <w:rsid w:val="00B71525"/>
    <w:rsid w:val="00B930D0"/>
    <w:rsid w:val="00B93920"/>
    <w:rsid w:val="00BB0E38"/>
    <w:rsid w:val="00BD6531"/>
    <w:rsid w:val="00BE13A0"/>
    <w:rsid w:val="00BE596B"/>
    <w:rsid w:val="00BE6E9E"/>
    <w:rsid w:val="00BF46DA"/>
    <w:rsid w:val="00C02841"/>
    <w:rsid w:val="00C07D34"/>
    <w:rsid w:val="00C12F78"/>
    <w:rsid w:val="00C17527"/>
    <w:rsid w:val="00C2604A"/>
    <w:rsid w:val="00C32101"/>
    <w:rsid w:val="00C5519C"/>
    <w:rsid w:val="00C604AD"/>
    <w:rsid w:val="00C919C4"/>
    <w:rsid w:val="00C94EEE"/>
    <w:rsid w:val="00CA313B"/>
    <w:rsid w:val="00CD4D41"/>
    <w:rsid w:val="00CE3043"/>
    <w:rsid w:val="00CF6309"/>
    <w:rsid w:val="00D20597"/>
    <w:rsid w:val="00D370F0"/>
    <w:rsid w:val="00D569C8"/>
    <w:rsid w:val="00D85B2F"/>
    <w:rsid w:val="00DB3E6E"/>
    <w:rsid w:val="00DD0D4A"/>
    <w:rsid w:val="00DE66F2"/>
    <w:rsid w:val="00DF0DDF"/>
    <w:rsid w:val="00E13AD6"/>
    <w:rsid w:val="00E42056"/>
    <w:rsid w:val="00E644BD"/>
    <w:rsid w:val="00E83E11"/>
    <w:rsid w:val="00E8542E"/>
    <w:rsid w:val="00E9164C"/>
    <w:rsid w:val="00EC24B2"/>
    <w:rsid w:val="00EC4E62"/>
    <w:rsid w:val="00EE5FC3"/>
    <w:rsid w:val="00F3244D"/>
    <w:rsid w:val="00FD594D"/>
    <w:rsid w:val="00FF4B5C"/>
    <w:rsid w:val="01F03E48"/>
    <w:rsid w:val="18355785"/>
    <w:rsid w:val="191011B3"/>
    <w:rsid w:val="605043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7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10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93</Words>
  <Characters>531</Characters>
  <Lines>4</Lines>
  <Paragraphs>1</Paragraphs>
  <TotalTime>159</TotalTime>
  <ScaleCrop>false</ScaleCrop>
  <LinksUpToDate>false</LinksUpToDate>
  <CharactersWithSpaces>623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2020-06-30T21:29:00Z</dcterms:created>
  <dc:creator>叶婷婷</dc:creator>
  <cp:lastModifiedBy>粨喥乜搜卟菿滒灞芞</cp:lastModifiedBy>
  <cp:lastPrinted>2020-07-21T10:12:00Z</cp:lastPrinted>
  <dcterms:modified xsi:type="dcterms:W3CDTF">2020-08-03T01:50:06Z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