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shd w:val="clear" w:color="auto" w:fill="auto"/>
        </w:rPr>
      </w:pPr>
      <w:r>
        <w:rPr>
          <w:rFonts w:hint="eastAsia" w:ascii="黑体" w:hAnsi="黑体" w:eastAsia="黑体"/>
          <w:sz w:val="36"/>
          <w:szCs w:val="36"/>
          <w:shd w:val="clear" w:color="auto" w:fill="auto"/>
        </w:rPr>
        <w:t>税务会计师（中级）专业能力考试办法</w:t>
      </w:r>
    </w:p>
    <w:p>
      <w:pPr>
        <w:jc w:val="center"/>
        <w:rPr>
          <w:rFonts w:ascii="黑体" w:hAnsi="黑体" w:eastAsia="黑体"/>
          <w:sz w:val="36"/>
          <w:szCs w:val="36"/>
          <w:shd w:val="clear" w:color="auto" w:fill="auto"/>
        </w:rPr>
      </w:pPr>
      <w:r>
        <w:rPr>
          <w:rFonts w:hint="eastAsia" w:ascii="黑体" w:hAnsi="黑体" w:eastAsia="黑体"/>
          <w:sz w:val="36"/>
          <w:szCs w:val="36"/>
          <w:shd w:val="clear" w:color="auto" w:fill="auto"/>
        </w:rPr>
        <w:t>（试行）</w:t>
      </w:r>
    </w:p>
    <w:p>
      <w:pPr>
        <w:jc w:val="center"/>
        <w:rPr>
          <w:rFonts w:ascii="黑体" w:hAnsi="黑体" w:eastAsia="黑体"/>
          <w:sz w:val="36"/>
          <w:szCs w:val="36"/>
          <w:shd w:val="clear" w:color="auto" w:fill="auto"/>
        </w:rPr>
      </w:pPr>
    </w:p>
    <w:p>
      <w:pPr>
        <w:ind w:firstLine="450" w:firstLineChars="15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第一条 为规范中国总会计师协会（以下称“中总协”）税务会计师（中级）专业能力考试，确保考试公平公正，根据《中国总会计师协会章程》相关规定，制定本办法。</w:t>
      </w:r>
    </w:p>
    <w:p>
      <w:pPr>
        <w:ind w:firstLine="450" w:firstLineChars="15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第二条 中总协培训认证项目领导小组负责税务会计师(中级)专业能力考试的组织领导工作，包括制定考试工作方针，审定考试大纲，确定考试原则，处理考试组织工作的重大问题；</w:t>
      </w:r>
      <w:r>
        <w:rPr>
          <w:rFonts w:hint="eastAsia" w:ascii="仿宋_GB2312" w:eastAsia="仿宋_GB2312"/>
          <w:sz w:val="30"/>
          <w:szCs w:val="30"/>
          <w:shd w:val="clear" w:color="auto" w:fill="auto"/>
        </w:rPr>
        <w:t>专业委员会</w:t>
      </w:r>
      <w:r>
        <w:rPr>
          <w:rFonts w:hint="eastAsia" w:ascii="仿宋_GB2312" w:eastAsia="仿宋_GB2312"/>
          <w:sz w:val="30"/>
          <w:szCs w:val="30"/>
          <w:shd w:val="clear" w:color="auto" w:fill="auto"/>
        </w:rPr>
        <w:t>负责税务会计师（中级）专业能力考试题库开发、科目命题、评分标准制定等工作。中总协秘书处负责税务会计师(中级)专业能力考试的组织实施、试卷阅评及成绩发布等工作。</w:t>
      </w:r>
    </w:p>
    <w:p>
      <w:pPr>
        <w:ind w:firstLine="450" w:firstLineChars="15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第三条 税务会计师（中级）专业能力考试报名条件</w:t>
      </w:r>
    </w:p>
    <w:p>
      <w:pPr>
        <w:spacing w:line="600" w:lineRule="exact"/>
        <w:ind w:firstLine="747" w:firstLineChars="248"/>
        <w:rPr>
          <w:rFonts w:ascii="仿宋_GB2312" w:hAnsi="仿宋_GB2312" w:eastAsia="仿宋_GB2312" w:cs="仿宋_GB2312"/>
          <w:b/>
          <w:bCs/>
          <w:sz w:val="30"/>
          <w:szCs w:val="30"/>
          <w:shd w:val="clear" w:color="auto" w:fill="auto"/>
        </w:rPr>
      </w:pPr>
      <w:r>
        <w:rPr>
          <w:rFonts w:hint="eastAsia" w:ascii="仿宋_GB2312" w:hAnsi="仿宋_GB2312" w:eastAsia="仿宋_GB2312" w:cs="仿宋_GB2312"/>
          <w:b/>
          <w:bCs/>
          <w:sz w:val="30"/>
          <w:szCs w:val="30"/>
          <w:shd w:val="clear" w:color="auto" w:fill="auto"/>
        </w:rPr>
        <w:t>（一）基本条件</w:t>
      </w:r>
    </w:p>
    <w:p>
      <w:pPr>
        <w:widowControl/>
        <w:spacing w:line="600" w:lineRule="exact"/>
        <w:ind w:firstLine="750" w:firstLineChars="250"/>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1、坚持原则，具有良好的职业道德；</w:t>
      </w:r>
    </w:p>
    <w:p>
      <w:pPr>
        <w:widowControl/>
        <w:spacing w:line="600" w:lineRule="exact"/>
        <w:ind w:firstLine="750" w:firstLineChars="250"/>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2、认真执行《会计法》和国家统一的会计制度以及有关财会、财税法律、法规制度，无严重违反财经法规纪律的行为；</w:t>
      </w:r>
    </w:p>
    <w:p>
      <w:pPr>
        <w:widowControl/>
        <w:spacing w:line="600" w:lineRule="exact"/>
        <w:ind w:firstLine="750" w:firstLineChars="250"/>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3、履行岗位职责，热爱本职工作。</w:t>
      </w:r>
    </w:p>
    <w:p>
      <w:pPr>
        <w:spacing w:line="600" w:lineRule="exact"/>
        <w:ind w:firstLine="602" w:firstLineChars="200"/>
        <w:rPr>
          <w:rFonts w:ascii="仿宋_GB2312" w:hAnsi="仿宋_GB2312" w:eastAsia="仿宋_GB2312" w:cs="仿宋_GB2312"/>
          <w:sz w:val="30"/>
          <w:szCs w:val="30"/>
          <w:shd w:val="clear" w:color="auto" w:fill="auto"/>
        </w:rPr>
      </w:pPr>
      <w:r>
        <w:rPr>
          <w:rFonts w:hint="eastAsia" w:ascii="仿宋_GB2312" w:hAnsi="仿宋_GB2312" w:eastAsia="仿宋_GB2312" w:cs="仿宋_GB2312"/>
          <w:b/>
          <w:bCs/>
          <w:sz w:val="30"/>
          <w:szCs w:val="30"/>
          <w:shd w:val="clear" w:color="auto" w:fill="auto"/>
        </w:rPr>
        <w:t>（二）具体条件</w:t>
      </w:r>
    </w:p>
    <w:p>
      <w:pPr>
        <w:widowControl/>
        <w:spacing w:line="600" w:lineRule="exact"/>
        <w:ind w:firstLine="600" w:firstLineChars="200"/>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报名参加税务会计师（中级）专业能力培训与考试的学员，除具备基本条件外，还应具备下列条件之一：</w:t>
      </w:r>
    </w:p>
    <w:p>
      <w:pPr>
        <w:widowControl/>
        <w:spacing w:line="600" w:lineRule="exact"/>
        <w:ind w:firstLine="600" w:firstLineChars="200"/>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1、具备财会、财税、经济类等相关专业初级专业技术职称,满3年；</w:t>
      </w:r>
    </w:p>
    <w:p>
      <w:pPr>
        <w:widowControl/>
        <w:tabs>
          <w:tab w:val="left" w:pos="567"/>
        </w:tabs>
        <w:spacing w:line="600" w:lineRule="exact"/>
        <w:ind w:firstLine="600" w:firstLineChars="200"/>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2、 具备财会、财税、经济类等相关专业中级专业技术职称；</w:t>
      </w:r>
    </w:p>
    <w:p>
      <w:pPr>
        <w:spacing w:line="600" w:lineRule="exact"/>
        <w:ind w:firstLine="600" w:firstLineChars="200"/>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3、研究生以上学历，从事财会、财税、经济工作满1年；</w:t>
      </w:r>
    </w:p>
    <w:p>
      <w:pPr>
        <w:spacing w:line="600" w:lineRule="exact"/>
        <w:ind w:firstLine="600" w:firstLineChars="200"/>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4、大学本科学历，从事财会、财税、经济工作满3年；</w:t>
      </w:r>
    </w:p>
    <w:p>
      <w:pPr>
        <w:spacing w:line="600" w:lineRule="exact"/>
        <w:ind w:firstLine="600" w:firstLineChars="200"/>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5、大专学历，从事财会、财税、经济工作满4年；</w:t>
      </w:r>
    </w:p>
    <w:p>
      <w:pPr>
        <w:spacing w:line="600" w:lineRule="exact"/>
        <w:ind w:firstLine="588" w:firstLineChars="196"/>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6、大专以下学历（指取得高中、职高、中专、技校毕业证书），从事财会、财税、经济工作10年以上并且年龄在30岁以上；</w:t>
      </w:r>
    </w:p>
    <w:p>
      <w:pPr>
        <w:ind w:firstLine="600"/>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7、持有《税务会计师（初级）证书》两年以上。</w:t>
      </w:r>
    </w:p>
    <w:p>
      <w:pPr>
        <w:ind w:firstLine="585"/>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第四条 具有以下情形之一的人员，不得报考税务会计师（中级）专业能力考试</w:t>
      </w:r>
    </w:p>
    <w:p>
      <w:pPr>
        <w:ind w:firstLine="585"/>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1、因违反《会计法》等国家财经法律法规而受到惩处记录的；</w:t>
      </w:r>
    </w:p>
    <w:p>
      <w:pPr>
        <w:ind w:firstLine="585"/>
        <w:jc w:val="left"/>
        <w:rPr>
          <w:rFonts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2、有刑事犯罪记录的；</w:t>
      </w:r>
    </w:p>
    <w:p>
      <w:pPr>
        <w:ind w:firstLine="585"/>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3、法律规定的其他不得报考的情形。</w:t>
      </w:r>
    </w:p>
    <w:p>
      <w:pPr>
        <w:ind w:firstLine="585"/>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 xml:space="preserve">第五条 </w:t>
      </w:r>
      <w:r>
        <w:rPr>
          <w:rFonts w:hint="eastAsia" w:ascii="仿宋_GB2312" w:eastAsia="仿宋_GB2312"/>
          <w:sz w:val="30"/>
          <w:szCs w:val="30"/>
          <w:shd w:val="clear" w:color="auto" w:fill="auto"/>
        </w:rPr>
        <w:t>税务会计师（中级）专业能力考试科目</w:t>
      </w:r>
    </w:p>
    <w:p>
      <w:pPr>
        <w:ind w:firstLine="585"/>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税务会计师（中级）专业能力考试设三科，即专业知识（一）、专业知识（二）和综合评估。其中专业知识（一）、专业知识（二）为闭卷考试，综合评估以论文形式进行考核。</w:t>
      </w:r>
    </w:p>
    <w:p>
      <w:pPr>
        <w:wordWrap w:val="0"/>
        <w:ind w:firstLine="600" w:firstLineChars="20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闭卷考试采用计算机考试形式（以下称“机考”）。有关考试计划、考试时间及考试注意事项在</w:t>
      </w:r>
      <w:r>
        <w:rPr>
          <w:rFonts w:hint="eastAsia" w:ascii="仿宋_GB2312" w:eastAsia="仿宋_GB2312"/>
          <w:sz w:val="30"/>
          <w:szCs w:val="30"/>
          <w:shd w:val="clear" w:color="auto" w:fill="auto"/>
        </w:rPr>
        <w:t>中总协税务会计师项目网（</w:t>
      </w:r>
      <w:r>
        <w:rPr>
          <w:shd w:val="clear" w:color="auto" w:fill="auto"/>
        </w:rPr>
        <w:fldChar w:fldCharType="begin"/>
      </w:r>
      <w:r>
        <w:rPr>
          <w:shd w:val="clear" w:color="auto" w:fill="auto"/>
        </w:rPr>
        <w:instrText xml:space="preserve"> HYPERLINK "http://www.cactac.com" </w:instrText>
      </w:r>
      <w:r>
        <w:rPr>
          <w:shd w:val="clear" w:color="auto" w:fill="auto"/>
        </w:rPr>
        <w:fldChar w:fldCharType="separate"/>
      </w:r>
      <w:r>
        <w:rPr>
          <w:rStyle w:val="10"/>
          <w:rFonts w:hint="eastAsia" w:ascii="仿宋_GB2312" w:eastAsia="仿宋_GB2312"/>
          <w:sz w:val="30"/>
          <w:szCs w:val="30"/>
          <w:shd w:val="clear" w:color="auto" w:fill="auto"/>
        </w:rPr>
        <w:t>www.cactac.com</w:t>
      </w:r>
      <w:r>
        <w:rPr>
          <w:rStyle w:val="10"/>
          <w:rFonts w:hint="eastAsia" w:ascii="仿宋_GB2312" w:eastAsia="仿宋_GB2312"/>
          <w:sz w:val="30"/>
          <w:szCs w:val="30"/>
          <w:shd w:val="clear" w:color="auto" w:fill="auto"/>
        </w:rPr>
        <w:fldChar w:fldCharType="end"/>
      </w:r>
      <w:r>
        <w:rPr>
          <w:rFonts w:hint="eastAsia" w:ascii="仿宋_GB2312" w:eastAsia="仿宋_GB2312"/>
          <w:sz w:val="30"/>
          <w:szCs w:val="30"/>
          <w:shd w:val="clear" w:color="auto" w:fill="auto"/>
        </w:rPr>
        <w:t>）予以公布</w:t>
      </w:r>
      <w:r>
        <w:rPr>
          <w:rFonts w:hint="eastAsia" w:ascii="仿宋_GB2312" w:eastAsia="仿宋_GB2312"/>
          <w:sz w:val="30"/>
          <w:szCs w:val="30"/>
          <w:shd w:val="clear" w:color="auto" w:fill="auto"/>
        </w:rPr>
        <w:t>。</w:t>
      </w:r>
    </w:p>
    <w:p>
      <w:pPr>
        <w:ind w:left="210" w:leftChars="100" w:firstLine="450" w:firstLineChars="15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第六条 税务会计师（中级）专业能力考试</w:t>
      </w:r>
      <w:r>
        <w:rPr>
          <w:rFonts w:hint="eastAsia" w:ascii="仿宋_GB2312" w:eastAsia="仿宋_GB2312"/>
          <w:sz w:val="30"/>
          <w:szCs w:val="30"/>
          <w:shd w:val="clear" w:color="auto" w:fill="auto"/>
        </w:rPr>
        <w:t>成绩合格标准</w:t>
      </w:r>
    </w:p>
    <w:p>
      <w:pPr>
        <w:ind w:firstLine="660" w:firstLineChars="22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税务会计师（中级）专业能力考试满分200分，其中专业知识（一）满分75分、专业知识（二）满分75分；综合评估考试满分50分；专业知识（一）、专业知识（二）及综合评估考试三科成绩总和在120分以上（含120分）为成绩合格。</w:t>
      </w:r>
    </w:p>
    <w:p>
      <w:pPr>
        <w:ind w:firstLine="585"/>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第七条 参加税务会计师（中级）专业能力考试的人员须在综合项目管理办公室授权机构指导下进行报名。报名人员须</w:t>
      </w:r>
      <w:r>
        <w:rPr>
          <w:rFonts w:hint="eastAsia" w:ascii="仿宋_GB2312" w:eastAsia="仿宋_GB2312"/>
          <w:sz w:val="30"/>
          <w:szCs w:val="30"/>
          <w:shd w:val="clear" w:color="auto" w:fill="auto"/>
        </w:rPr>
        <w:t>一次</w:t>
      </w:r>
      <w:r>
        <w:rPr>
          <w:rFonts w:hint="eastAsia" w:ascii="仿宋_GB2312" w:eastAsia="仿宋_GB2312"/>
          <w:sz w:val="30"/>
          <w:szCs w:val="30"/>
          <w:shd w:val="clear" w:color="auto" w:fill="auto"/>
        </w:rPr>
        <w:t>报考中级所有科目。</w:t>
      </w:r>
    </w:p>
    <w:p>
      <w:pPr>
        <w:ind w:firstLine="660" w:firstLineChars="22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第八条 机考试卷成绩由第三方专业考试机构进行数据汇总，论文答卷由中总协秘书处组织专家阅卷，考试成绩由中总协培训认证项目领导小组负责核准，由中总协秘书处发布。</w:t>
      </w:r>
    </w:p>
    <w:p>
      <w:pPr>
        <w:ind w:firstLine="600" w:firstLineChars="20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考生对考试成绩有异议的，可依据《税务会计师（中级）专业能力考试成绩复核办法（试行）》向中总协提出复核申请。考试未通过人员可在考试之日起两年内申请全科目补考。</w:t>
      </w:r>
    </w:p>
    <w:p>
      <w:pPr>
        <w:ind w:firstLine="600" w:firstLineChars="20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第九条 考试通过，中总协颁发中级《税务会计师专业能力证书》。为确保证书有效，持证人须按规定参加继续教育和证书签注。</w:t>
      </w:r>
    </w:p>
    <w:p>
      <w:pPr>
        <w:ind w:firstLine="600" w:firstLineChars="20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第十条 参加税务会计师（中级）专业能力考试的应考人员及参与考务工作的人员，必须遵守税务会计师(中级)专业能力考试相关规则、守则等，违者按照《税务会计师（中级）专业能力考试违规违纪行为处理办法（试行）》予以处理。</w:t>
      </w:r>
    </w:p>
    <w:p>
      <w:pPr>
        <w:ind w:firstLine="450" w:firstLineChars="15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第十一条 税务会计师(中级)专业能力考试题库、答案、评审标准，以及参与命题和阅卷相关人员信息、经评阅的考生试卷等均属中总协涉密工作范畴，对违反相关规定的人员，中总协将追究其法律责任。</w:t>
      </w:r>
    </w:p>
    <w:p>
      <w:pPr>
        <w:tabs>
          <w:tab w:val="left" w:pos="720"/>
        </w:tabs>
        <w:autoSpaceDE w:val="0"/>
        <w:autoSpaceDN w:val="0"/>
        <w:adjustRightInd w:val="0"/>
        <w:snapToGrid w:val="0"/>
        <w:spacing w:line="360" w:lineRule="auto"/>
        <w:ind w:right="18" w:firstLine="600" w:firstLineChars="200"/>
        <w:jc w:val="left"/>
        <w:rPr>
          <w:rFonts w:ascii="仿宋_GB2312" w:eastAsia="仿宋_GB2312"/>
          <w:sz w:val="30"/>
          <w:szCs w:val="30"/>
          <w:shd w:val="clear" w:color="auto" w:fill="auto"/>
        </w:rPr>
      </w:pPr>
      <w:r>
        <w:rPr>
          <w:rFonts w:hint="eastAsia" w:ascii="仿宋_GB2312" w:eastAsia="仿宋_GB2312"/>
          <w:sz w:val="30"/>
          <w:szCs w:val="30"/>
          <w:shd w:val="clear" w:color="auto" w:fill="auto"/>
        </w:rPr>
        <w:t>第十二条 本办法自发布之日起试行。本办法</w:t>
      </w:r>
      <w:r>
        <w:rPr>
          <w:rFonts w:ascii="仿宋_GB2312" w:eastAsia="仿宋_GB2312"/>
          <w:sz w:val="30"/>
          <w:szCs w:val="30"/>
          <w:shd w:val="clear" w:color="auto" w:fill="auto"/>
        </w:rPr>
        <w:t>的解</w:t>
      </w:r>
      <w:r>
        <w:rPr>
          <w:rFonts w:ascii="仿宋_GB2312" w:hAnsi="仿宋" w:eastAsia="仿宋_GB2312"/>
          <w:sz w:val="30"/>
          <w:szCs w:val="30"/>
          <w:shd w:val="clear" w:color="auto" w:fill="auto"/>
        </w:rPr>
        <w:t>释权归属</w:t>
      </w:r>
      <w:r>
        <w:rPr>
          <w:rFonts w:hint="eastAsia" w:ascii="仿宋_GB2312" w:eastAsia="仿宋_GB2312"/>
          <w:sz w:val="30"/>
          <w:szCs w:val="30"/>
          <w:shd w:val="clear" w:color="auto" w:fill="auto"/>
        </w:rPr>
        <w:t>中总协</w:t>
      </w:r>
      <w:r>
        <w:rPr>
          <w:rFonts w:ascii="仿宋_GB2312" w:eastAsia="仿宋_GB2312"/>
          <w:sz w:val="30"/>
          <w:szCs w:val="30"/>
          <w:shd w:val="clear" w:color="auto" w:fill="auto"/>
        </w:rPr>
        <w:t>秘书处。</w:t>
      </w:r>
    </w:p>
    <w:p>
      <w:pPr>
        <w:ind w:firstLine="600" w:firstLineChars="200"/>
        <w:jc w:val="left"/>
        <w:rPr>
          <w:rFonts w:ascii="仿宋_GB2312" w:eastAsia="仿宋_GB2312"/>
          <w:sz w:val="30"/>
          <w:szCs w:val="30"/>
          <w:shd w:val="clear" w:color="auto" w:fill="auto"/>
        </w:rPr>
      </w:pPr>
    </w:p>
    <w:p>
      <w:pPr>
        <w:jc w:val="left"/>
        <w:rPr>
          <w:rFonts w:ascii="仿宋_GB2312" w:eastAsia="仿宋_GB2312"/>
          <w:sz w:val="30"/>
          <w:szCs w:val="30"/>
          <w:shd w:val="clear" w:color="auto" w:fil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7FE"/>
    <w:rsid w:val="00002F1B"/>
    <w:rsid w:val="00006CB5"/>
    <w:rsid w:val="0001097D"/>
    <w:rsid w:val="00011393"/>
    <w:rsid w:val="000176D0"/>
    <w:rsid w:val="00023E42"/>
    <w:rsid w:val="00067D93"/>
    <w:rsid w:val="00070D79"/>
    <w:rsid w:val="000728EE"/>
    <w:rsid w:val="00094A87"/>
    <w:rsid w:val="00096E78"/>
    <w:rsid w:val="000A43D5"/>
    <w:rsid w:val="000A5E12"/>
    <w:rsid w:val="000B08DB"/>
    <w:rsid w:val="000B7B52"/>
    <w:rsid w:val="000D44CC"/>
    <w:rsid w:val="000E17E8"/>
    <w:rsid w:val="000E4820"/>
    <w:rsid w:val="00111CD9"/>
    <w:rsid w:val="001560BA"/>
    <w:rsid w:val="00156657"/>
    <w:rsid w:val="00162B8E"/>
    <w:rsid w:val="001647A1"/>
    <w:rsid w:val="00183348"/>
    <w:rsid w:val="00190509"/>
    <w:rsid w:val="001921C9"/>
    <w:rsid w:val="00192F61"/>
    <w:rsid w:val="00194AAD"/>
    <w:rsid w:val="001B0CD3"/>
    <w:rsid w:val="001B5298"/>
    <w:rsid w:val="001B604F"/>
    <w:rsid w:val="001D24DA"/>
    <w:rsid w:val="001E7AA2"/>
    <w:rsid w:val="001F5F0A"/>
    <w:rsid w:val="00207AEC"/>
    <w:rsid w:val="002322B7"/>
    <w:rsid w:val="00236FBA"/>
    <w:rsid w:val="002505DB"/>
    <w:rsid w:val="00253B1F"/>
    <w:rsid w:val="00272AFF"/>
    <w:rsid w:val="0028538D"/>
    <w:rsid w:val="00296580"/>
    <w:rsid w:val="002A2D11"/>
    <w:rsid w:val="002B270F"/>
    <w:rsid w:val="002B74E9"/>
    <w:rsid w:val="002E2BBE"/>
    <w:rsid w:val="00300928"/>
    <w:rsid w:val="003033BA"/>
    <w:rsid w:val="0031317E"/>
    <w:rsid w:val="003139F9"/>
    <w:rsid w:val="00316EDA"/>
    <w:rsid w:val="003177BE"/>
    <w:rsid w:val="0033492F"/>
    <w:rsid w:val="00336961"/>
    <w:rsid w:val="0034666D"/>
    <w:rsid w:val="00361062"/>
    <w:rsid w:val="00361868"/>
    <w:rsid w:val="0037148D"/>
    <w:rsid w:val="003E080C"/>
    <w:rsid w:val="003F349A"/>
    <w:rsid w:val="00424351"/>
    <w:rsid w:val="004303C7"/>
    <w:rsid w:val="00440A39"/>
    <w:rsid w:val="00445F6B"/>
    <w:rsid w:val="00457F01"/>
    <w:rsid w:val="00471051"/>
    <w:rsid w:val="00476004"/>
    <w:rsid w:val="004963BF"/>
    <w:rsid w:val="004A01B3"/>
    <w:rsid w:val="004F788A"/>
    <w:rsid w:val="0050232B"/>
    <w:rsid w:val="00503E20"/>
    <w:rsid w:val="00524894"/>
    <w:rsid w:val="0055223B"/>
    <w:rsid w:val="005601EE"/>
    <w:rsid w:val="005677AB"/>
    <w:rsid w:val="0057794E"/>
    <w:rsid w:val="005830AD"/>
    <w:rsid w:val="00586478"/>
    <w:rsid w:val="00590BF7"/>
    <w:rsid w:val="00591C2C"/>
    <w:rsid w:val="005B4384"/>
    <w:rsid w:val="005B4D2F"/>
    <w:rsid w:val="005C1624"/>
    <w:rsid w:val="005D6C20"/>
    <w:rsid w:val="005E7CDE"/>
    <w:rsid w:val="006061C7"/>
    <w:rsid w:val="00610C0B"/>
    <w:rsid w:val="00613FCF"/>
    <w:rsid w:val="006151CD"/>
    <w:rsid w:val="00624643"/>
    <w:rsid w:val="00630659"/>
    <w:rsid w:val="00640018"/>
    <w:rsid w:val="006423BA"/>
    <w:rsid w:val="0065268C"/>
    <w:rsid w:val="00676A83"/>
    <w:rsid w:val="0069093B"/>
    <w:rsid w:val="006B22A0"/>
    <w:rsid w:val="006B3B7D"/>
    <w:rsid w:val="006D5191"/>
    <w:rsid w:val="006D5312"/>
    <w:rsid w:val="006E25A7"/>
    <w:rsid w:val="006E6B74"/>
    <w:rsid w:val="00702113"/>
    <w:rsid w:val="007123AA"/>
    <w:rsid w:val="00726CFA"/>
    <w:rsid w:val="0073566D"/>
    <w:rsid w:val="00737313"/>
    <w:rsid w:val="00765EF2"/>
    <w:rsid w:val="00780993"/>
    <w:rsid w:val="0078781F"/>
    <w:rsid w:val="007C0ED1"/>
    <w:rsid w:val="007C4F6E"/>
    <w:rsid w:val="007C6F72"/>
    <w:rsid w:val="007C7774"/>
    <w:rsid w:val="007F494C"/>
    <w:rsid w:val="0080196D"/>
    <w:rsid w:val="0080518E"/>
    <w:rsid w:val="008175CC"/>
    <w:rsid w:val="00825D0D"/>
    <w:rsid w:val="008272BC"/>
    <w:rsid w:val="008345A3"/>
    <w:rsid w:val="00835FC7"/>
    <w:rsid w:val="00847EBC"/>
    <w:rsid w:val="00866812"/>
    <w:rsid w:val="0086764E"/>
    <w:rsid w:val="00871904"/>
    <w:rsid w:val="008840CC"/>
    <w:rsid w:val="00897C56"/>
    <w:rsid w:val="008A3CD0"/>
    <w:rsid w:val="008B15D5"/>
    <w:rsid w:val="008B323B"/>
    <w:rsid w:val="008F28D6"/>
    <w:rsid w:val="009167C2"/>
    <w:rsid w:val="00917FB7"/>
    <w:rsid w:val="00925752"/>
    <w:rsid w:val="00932E6B"/>
    <w:rsid w:val="009361F6"/>
    <w:rsid w:val="00942F19"/>
    <w:rsid w:val="0094322D"/>
    <w:rsid w:val="0097100E"/>
    <w:rsid w:val="00973A6D"/>
    <w:rsid w:val="00975533"/>
    <w:rsid w:val="009820D3"/>
    <w:rsid w:val="00987875"/>
    <w:rsid w:val="00993DCD"/>
    <w:rsid w:val="00994FD8"/>
    <w:rsid w:val="009A309C"/>
    <w:rsid w:val="009A6272"/>
    <w:rsid w:val="009B086A"/>
    <w:rsid w:val="009B7FCE"/>
    <w:rsid w:val="009E3132"/>
    <w:rsid w:val="00A02B77"/>
    <w:rsid w:val="00A0315A"/>
    <w:rsid w:val="00A11FAF"/>
    <w:rsid w:val="00A12F6C"/>
    <w:rsid w:val="00A25AC0"/>
    <w:rsid w:val="00A26845"/>
    <w:rsid w:val="00A4469A"/>
    <w:rsid w:val="00A6074F"/>
    <w:rsid w:val="00A6306E"/>
    <w:rsid w:val="00A657DF"/>
    <w:rsid w:val="00A66E4E"/>
    <w:rsid w:val="00A7243B"/>
    <w:rsid w:val="00A74D10"/>
    <w:rsid w:val="00A76FEF"/>
    <w:rsid w:val="00A834FB"/>
    <w:rsid w:val="00AC0194"/>
    <w:rsid w:val="00AE0437"/>
    <w:rsid w:val="00AE173F"/>
    <w:rsid w:val="00AE2DE4"/>
    <w:rsid w:val="00AE3D33"/>
    <w:rsid w:val="00AE53FA"/>
    <w:rsid w:val="00AF169D"/>
    <w:rsid w:val="00AF55DA"/>
    <w:rsid w:val="00B21C9B"/>
    <w:rsid w:val="00B5045A"/>
    <w:rsid w:val="00B620CB"/>
    <w:rsid w:val="00B77162"/>
    <w:rsid w:val="00B80A92"/>
    <w:rsid w:val="00BA07CE"/>
    <w:rsid w:val="00BB3C8C"/>
    <w:rsid w:val="00BC6A0D"/>
    <w:rsid w:val="00BE2B47"/>
    <w:rsid w:val="00BE39A5"/>
    <w:rsid w:val="00BE4E39"/>
    <w:rsid w:val="00C00807"/>
    <w:rsid w:val="00C078CB"/>
    <w:rsid w:val="00C2387B"/>
    <w:rsid w:val="00C248DB"/>
    <w:rsid w:val="00C24AF5"/>
    <w:rsid w:val="00C42F25"/>
    <w:rsid w:val="00C4682F"/>
    <w:rsid w:val="00C57B5B"/>
    <w:rsid w:val="00C60F7F"/>
    <w:rsid w:val="00C70DB9"/>
    <w:rsid w:val="00C71CBE"/>
    <w:rsid w:val="00CA08DC"/>
    <w:rsid w:val="00CA595B"/>
    <w:rsid w:val="00CA6B7E"/>
    <w:rsid w:val="00CB4945"/>
    <w:rsid w:val="00CB648C"/>
    <w:rsid w:val="00CC2E9B"/>
    <w:rsid w:val="00CD11A0"/>
    <w:rsid w:val="00CE4C83"/>
    <w:rsid w:val="00D05C98"/>
    <w:rsid w:val="00D3780C"/>
    <w:rsid w:val="00D4167D"/>
    <w:rsid w:val="00D43003"/>
    <w:rsid w:val="00D53751"/>
    <w:rsid w:val="00D56B9F"/>
    <w:rsid w:val="00D63BB3"/>
    <w:rsid w:val="00D67FEA"/>
    <w:rsid w:val="00D8052C"/>
    <w:rsid w:val="00D80A4A"/>
    <w:rsid w:val="00D8684B"/>
    <w:rsid w:val="00D87BCC"/>
    <w:rsid w:val="00D93ED4"/>
    <w:rsid w:val="00D96122"/>
    <w:rsid w:val="00DA3CD0"/>
    <w:rsid w:val="00DA4F03"/>
    <w:rsid w:val="00DA77C5"/>
    <w:rsid w:val="00DB200E"/>
    <w:rsid w:val="00DC1397"/>
    <w:rsid w:val="00DD15A3"/>
    <w:rsid w:val="00DD1C04"/>
    <w:rsid w:val="00DD521B"/>
    <w:rsid w:val="00DD58F8"/>
    <w:rsid w:val="00DF35F0"/>
    <w:rsid w:val="00E0311E"/>
    <w:rsid w:val="00E03163"/>
    <w:rsid w:val="00E03DEE"/>
    <w:rsid w:val="00E13B65"/>
    <w:rsid w:val="00E16B5B"/>
    <w:rsid w:val="00E24927"/>
    <w:rsid w:val="00E301C0"/>
    <w:rsid w:val="00E30C43"/>
    <w:rsid w:val="00E46E7C"/>
    <w:rsid w:val="00E4770F"/>
    <w:rsid w:val="00E6344D"/>
    <w:rsid w:val="00E66EF1"/>
    <w:rsid w:val="00E747FE"/>
    <w:rsid w:val="00E86DB3"/>
    <w:rsid w:val="00EA3F5D"/>
    <w:rsid w:val="00EB77DB"/>
    <w:rsid w:val="00EC25B6"/>
    <w:rsid w:val="00ED286C"/>
    <w:rsid w:val="00ED310E"/>
    <w:rsid w:val="00ED3581"/>
    <w:rsid w:val="00EE71C8"/>
    <w:rsid w:val="00F06535"/>
    <w:rsid w:val="00F433E4"/>
    <w:rsid w:val="00F65143"/>
    <w:rsid w:val="00F83DFC"/>
    <w:rsid w:val="00FA5E48"/>
    <w:rsid w:val="00FA745F"/>
    <w:rsid w:val="00FD25DB"/>
    <w:rsid w:val="00FE26A5"/>
    <w:rsid w:val="00FF1121"/>
    <w:rsid w:val="00FF5817"/>
    <w:rsid w:val="00FF625A"/>
    <w:rsid w:val="0A694C99"/>
    <w:rsid w:val="1E30465A"/>
    <w:rsid w:val="33217C98"/>
    <w:rsid w:val="46D65118"/>
    <w:rsid w:val="4A643EC4"/>
    <w:rsid w:val="4F2E4244"/>
    <w:rsid w:val="577B4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mt20"/>
    <w:basedOn w:val="1"/>
    <w:qFormat/>
    <w:uiPriority w:val="0"/>
    <w:pPr>
      <w:widowControl/>
      <w:spacing w:afterAutospacing="1"/>
      <w:jc w:val="left"/>
    </w:pPr>
    <w:rPr>
      <w:rFonts w:ascii="宋体" w:hAnsi="宋体"/>
      <w:kern w:val="0"/>
      <w:sz w:val="24"/>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 w:type="character" w:customStyle="1" w:styleId="18">
    <w:name w:val="批注框文本 字符"/>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9F5ED-49FB-4785-B2C0-5F4681A64F9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241</Words>
  <Characters>1380</Characters>
  <Lines>11</Lines>
  <Paragraphs>3</Paragraphs>
  <TotalTime>13</TotalTime>
  <ScaleCrop>false</ScaleCrop>
  <LinksUpToDate>false</LinksUpToDate>
  <CharactersWithSpaces>1618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2020-06-30T20:47:00Z</dcterms:created>
  <dc:creator>叶婷婷</dc:creator>
  <cp:lastModifiedBy>粨喥乜搜卟菿滒灞芞</cp:lastModifiedBy>
  <cp:lastPrinted>2020-07-21T10:04:00Z</cp:lastPrinted>
  <dcterms:modified xsi:type="dcterms:W3CDTF">2020-08-03T01:48:28Z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